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7918D27" w:rsidR="007C2FEE" w:rsidRPr="00A9721A" w:rsidRDefault="00FD073C" w:rsidP="007C2FEE">
      <w:pPr>
        <w:pStyle w:val="Head"/>
      </w:pPr>
      <w:r>
        <w:rPr>
          <w:lang w:val="ru"/>
        </w:rPr>
        <w:t>Wirtgen │ SP 33 в действии: от долин до горных перевалов</w:t>
      </w:r>
    </w:p>
    <w:p w14:paraId="34A89D42" w14:textId="4CFF04E9" w:rsidR="007C2FEE" w:rsidRPr="00A9721A" w:rsidRDefault="00FD073C" w:rsidP="007C2FEE">
      <w:pPr>
        <w:pStyle w:val="Subhead"/>
      </w:pPr>
      <w:r>
        <w:rPr>
          <w:bCs/>
          <w:iCs w:val="0"/>
          <w:lang w:val="ru"/>
        </w:rPr>
        <w:t xml:space="preserve">Профиль колейного пути и водоотводного лотка всего за одну неделю </w:t>
      </w:r>
    </w:p>
    <w:p w14:paraId="43A5AB78" w14:textId="03C05591" w:rsidR="007C2FEE" w:rsidRPr="00A9721A" w:rsidRDefault="00FD073C" w:rsidP="007C2FEE">
      <w:pPr>
        <w:pStyle w:val="Teaser"/>
      </w:pPr>
      <w:r>
        <w:rPr>
          <w:bCs/>
          <w:lang w:val="ru"/>
        </w:rPr>
        <w:t>Два объекта, множество сложных задач и одна машина, которая доказывает, что готова к любым вызовам: новый бетоноукладчик со скользящими формами от Wirtgen продемонстрировал свою разноплановость, работая в совершенно разных условиях — от равнин Нижней Австрии до гор Штирии. Всего за одну неделю SP 33 изготовил профили колейного пути и водоотводного лотка.</w:t>
      </w:r>
    </w:p>
    <w:p w14:paraId="568F379B" w14:textId="77777777" w:rsidR="00FD073C" w:rsidRPr="00FD073C" w:rsidRDefault="00FD073C">
      <w:pPr>
        <w:pStyle w:val="Absatzberschrift"/>
      </w:pPr>
      <w:r>
        <w:rPr>
          <w:bCs/>
          <w:lang w:val="ru"/>
        </w:rPr>
        <w:t>Гибкость и точность — залог успеха</w:t>
      </w:r>
    </w:p>
    <w:p w14:paraId="4F552720" w14:textId="18D73BE3" w:rsidR="00FD073C" w:rsidRPr="00FD073C" w:rsidRDefault="00F60C5B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Уже с первого применения в Австрии стало очевидно, насколько гибко можно использовать этот бетоноукладчик для решения различных задач. В течение одной недели предстояло реализовать два проекта. Первой задачей было строительство колейного пути сельскохозяйственного назначения в Зигхартскирхене. Затем работа продолжилась в Земмерингском тоннеле, где предстояла укладка профиля «бордюр-лоток».</w:t>
      </w:r>
    </w:p>
    <w:p w14:paraId="3A62783A" w14:textId="77777777" w:rsidR="00FD073C" w:rsidRPr="00FD073C" w:rsidRDefault="00FD073C" w:rsidP="00FD073C">
      <w:pPr>
        <w:pStyle w:val="Absatzberschrift"/>
      </w:pPr>
      <w:r>
        <w:rPr>
          <w:bCs/>
          <w:lang w:val="ru"/>
        </w:rPr>
        <w:t>Колейный путь для сельскохозяйственного транспорта в Зигхартскирхене</w:t>
      </w:r>
    </w:p>
    <w:p w14:paraId="37E2853F" w14:textId="449BC89E" w:rsidR="00FD073C" w:rsidRPr="00FD073C" w:rsidRDefault="00092A6A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В Зигхартскирхене (Нижняя Австрия) конструкция состояла из двух бетонных полос шириной 1 метр каждая, с расстоянием в 1 метр между ними. Позже центральная и боковые обочины были засыпаны щебнем или гравием. Для создания колейного пути на машину были установлены две скользящие формы — по одной с каждой стороны. Подача бетона осуществлялась через конвейерную ленту и разделенный желоб, который равномерно заполнял обе формы.</w:t>
      </w:r>
    </w:p>
    <w:p w14:paraId="18350CA9" w14:textId="04209C15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 xml:space="preserve">«Бригада с самого первого дня была в полном восторге, мы никогда еще не получали такого удовольствия от работы с машиной с первого же дня», — говорит Михаэль Штефанер, руководитель группы подземного и дорожного строительства на востоке компании HABAU Hoch- und Tiefbaugesellschaft, которая выполняла работы совместно с Bickhardt Bau. </w:t>
      </w:r>
    </w:p>
    <w:p w14:paraId="3E1F82C5" w14:textId="31E00FA3" w:rsid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 xml:space="preserve">Как и во всех проектах с использованием скользящих форм, при строительстве колейного пути и создании профилей в соответствии с заданными параметрами решающую роль играла точная регулировка высоты, поперечного уклона и курсового управления. На объекте управление машиной осуществлялось с помощью направляющего троса. В качестве альтернативы можно было использоваться беспроводной AutoPilot 2.0. Эта спутниковая система управления автоматически контролирует высоту, курсовое управление и поперечный уклон машины, используя вместо традиционного направляющего троса виртуальную 3D-модель. Кроме того, в SP 33 регулировку высоты и курсового управления можно выполнить с помощью 3D-системы. </w:t>
      </w:r>
    </w:p>
    <w:p w14:paraId="7BC4C105" w14:textId="77777777" w:rsidR="0022668A" w:rsidRPr="00FD073C" w:rsidRDefault="0022668A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</w:p>
    <w:p w14:paraId="78343767" w14:textId="77777777" w:rsidR="00FD073C" w:rsidRPr="00FD073C" w:rsidRDefault="00FD073C" w:rsidP="00FD073C">
      <w:pPr>
        <w:pStyle w:val="Absatzberschrift"/>
      </w:pPr>
      <w:r>
        <w:rPr>
          <w:bCs/>
          <w:lang w:val="ru"/>
        </w:rPr>
        <w:lastRenderedPageBreak/>
        <w:t>Профили «бордюр-лоток» в Земмерингском тоннеле</w:t>
      </w:r>
    </w:p>
    <w:p w14:paraId="063E6EAC" w14:textId="6A36CBB7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После завершения первого проекта команда компании-исполнителя отправилась в Штирию, к Земмерингскому тоннелю.</w:t>
      </w:r>
    </w:p>
    <w:p w14:paraId="24286087" w14:textId="533227EF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Там с обеих сторон был уложен профиль «бордюр-лоток». Сложность заключалась в том, чтобы уложить новый профиль поверх уже существующего бордюрного профиля в тоннеле. Для этого работать нужно было с высокой точностью, чтобы обеспечить статическую прочность и долговечность профиля. Впоследствии между двумя профилями с помощью бетоноукладчика SP 1500 была уложена бетонная проезжая часть в два слоя.</w:t>
      </w:r>
    </w:p>
    <w:p w14:paraId="3C0BDCAE" w14:textId="51B74EB2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Тоннель является важным транспортным сообщением «Север-Юг», поэтому строительный проект нужно было завершить в кратчайшие сроки. Поскольку для смены скользящей формы на SP 33 нужно открутить всего 8 болтов, команда дорожников сэкономила здесь много времени.</w:t>
      </w:r>
    </w:p>
    <w:p w14:paraId="1EB66286" w14:textId="0052DE3B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«Переналадку, на которую обычно уходит два-три дня, мы выполнили за один день», — говорит Бернд Хаберль, бригадир в HABAU Hoch- und Tiefbaugesellschaft, подчеркивая гибкость бетоноукладчика.</w:t>
      </w:r>
    </w:p>
    <w:p w14:paraId="76A98489" w14:textId="389E23E1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ru"/>
        </w:rPr>
        <w:t>Два объекта, множество сложных задач и одна машина, которая доказала, что готова к любым вызовам. Проекты в Австрии показывают, насколько важны гибкость и адаптивность на стройплощадке, и на что способен SP 33 в таких условиях.</w:t>
      </w:r>
    </w:p>
    <w:p w14:paraId="7888EB8C" w14:textId="4DADBDFC" w:rsidR="007C2FEE" w:rsidRPr="00A9721A" w:rsidRDefault="007C2FEE" w:rsidP="007C2FEE">
      <w:pPr>
        <w:pStyle w:val="Standardabsatz"/>
      </w:pPr>
    </w:p>
    <w:p w14:paraId="64ABBB85" w14:textId="024AAF51" w:rsidR="007C2FEE" w:rsidRPr="00A9721A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6345839" w14:textId="77777777" w:rsidR="00BC487A" w:rsidRPr="00A9721A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25D3511F" w:rsidR="007C2FEE" w:rsidRPr="00A9721A" w:rsidRDefault="00A9721A" w:rsidP="00BA7BC5">
      <w:pPr>
        <w:pStyle w:val="BUbold"/>
        <w:rPr>
          <w:b w:val="0"/>
          <w:bCs/>
          <w:szCs w:val="20"/>
        </w:rPr>
      </w:pPr>
      <w:r>
        <w:rPr>
          <w:b w:val="0"/>
          <w:noProof/>
          <w:lang w:val="ru"/>
        </w:rPr>
        <w:drawing>
          <wp:inline distT="0" distB="0" distL="0" distR="0" wp14:anchorId="4D35EA31" wp14:editId="64B57D89">
            <wp:extent cx="2880000" cy="1619150"/>
            <wp:effectExtent l="0" t="0" r="0" b="6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W_pic_js_SP33_Austria_Bickhardt_1_0825_1097</w:t>
      </w:r>
      <w:r>
        <w:rPr>
          <w:b w:val="0"/>
          <w:lang w:val="ru"/>
        </w:rPr>
        <w:br/>
      </w:r>
      <w:r>
        <w:rPr>
          <w:b w:val="0"/>
          <w:szCs w:val="20"/>
          <w:lang w:val="ru"/>
        </w:rPr>
        <w:t xml:space="preserve">Компактный бетоноукладчик со скользящими формами SP 33 позволяет выполнять точную укладку различных профилей, например, профилей колейного пути. </w:t>
      </w:r>
    </w:p>
    <w:p w14:paraId="10AF8B22" w14:textId="77777777" w:rsidR="000D357E" w:rsidRPr="00A9721A" w:rsidRDefault="000D357E" w:rsidP="000D357E">
      <w:pPr>
        <w:pStyle w:val="BUnormal"/>
      </w:pPr>
    </w:p>
    <w:p w14:paraId="6BBBB646" w14:textId="029336CB" w:rsidR="007C2FEE" w:rsidRPr="00D11C44" w:rsidRDefault="00644A8C" w:rsidP="007C2FEE">
      <w:pPr>
        <w:pStyle w:val="BUbold"/>
      </w:pPr>
      <w:r>
        <w:rPr>
          <w:b w:val="0"/>
          <w:noProof/>
          <w:lang w:val="ru"/>
        </w:rPr>
        <w:lastRenderedPageBreak/>
        <w:drawing>
          <wp:inline distT="0" distB="0" distL="0" distR="0" wp14:anchorId="785B9E9C" wp14:editId="3637F468">
            <wp:extent cx="2880000" cy="1619150"/>
            <wp:effectExtent l="0" t="0" r="0" b="63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W_pic_js_SP33_Austria_Bickhardt_1_0825_1103</w:t>
      </w:r>
    </w:p>
    <w:p w14:paraId="009E8807" w14:textId="36DBD8B2" w:rsidR="00644A8C" w:rsidRDefault="0082463E" w:rsidP="00644A8C">
      <w:pPr>
        <w:pStyle w:val="BUnormal"/>
        <w:spacing w:after="0"/>
      </w:pPr>
      <w:r>
        <w:rPr>
          <w:lang w:val="ru"/>
        </w:rPr>
        <w:t>Быстросменные опалубки и возможность одновременно подавать бетон в две воронки демонстрируют исключительную эксплуатационную гибкость Wirtgen SP 33.</w:t>
      </w:r>
    </w:p>
    <w:p w14:paraId="40C3BBFF" w14:textId="77777777" w:rsidR="00644A8C" w:rsidRPr="00644A8C" w:rsidRDefault="00644A8C" w:rsidP="00644A8C">
      <w:pPr>
        <w:spacing w:after="160" w:line="259" w:lineRule="auto"/>
        <w:rPr>
          <w:rFonts w:eastAsiaTheme="minorHAnsi" w:cstheme="minorBidi"/>
          <w:sz w:val="20"/>
          <w:szCs w:val="20"/>
        </w:rPr>
      </w:pPr>
    </w:p>
    <w:p w14:paraId="2BB8EF8A" w14:textId="06C3B1C2" w:rsidR="00644A8C" w:rsidRPr="00D11C44" w:rsidRDefault="00644A8C" w:rsidP="00644A8C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3BC39F27" wp14:editId="5ABD6964">
            <wp:extent cx="2880000" cy="1619150"/>
            <wp:effectExtent l="0" t="0" r="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W_pic_js_SP33_Austria_Bickhardt_2_0825_00530</w:t>
      </w:r>
    </w:p>
    <w:p w14:paraId="6C97BDF1" w14:textId="69293241" w:rsidR="00644A8C" w:rsidRPr="00644A8C" w:rsidRDefault="00644A8C" w:rsidP="00644A8C">
      <w:pPr>
        <w:pStyle w:val="Note"/>
        <w:spacing w:before="0" w:after="0"/>
        <w:rPr>
          <w:i w:val="0"/>
        </w:rPr>
      </w:pPr>
      <w:r>
        <w:rPr>
          <w:i w:val="0"/>
          <w:lang w:val="ru"/>
        </w:rPr>
        <w:t>При укладке с помощью бетоноукладчика Wirtgen необходимо обеспечивать постоянную подачу бетона.</w:t>
      </w:r>
    </w:p>
    <w:p w14:paraId="10F59FC8" w14:textId="77777777" w:rsidR="00644A8C" w:rsidRPr="00644A8C" w:rsidRDefault="00644A8C" w:rsidP="00FD073C">
      <w:pPr>
        <w:spacing w:after="160" w:line="259" w:lineRule="auto"/>
        <w:rPr>
          <w:rFonts w:eastAsiaTheme="minorHAnsi" w:cstheme="minorBidi"/>
          <w:sz w:val="20"/>
          <w:szCs w:val="20"/>
        </w:rPr>
      </w:pPr>
    </w:p>
    <w:p w14:paraId="4F73FD3E" w14:textId="633009B4" w:rsidR="00644A8C" w:rsidRPr="00D11C44" w:rsidRDefault="00644A8C" w:rsidP="00644A8C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4CB06382" wp14:editId="25E6439A">
            <wp:extent cx="2880000" cy="1619150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2"/>
          <w:lang w:val="ru"/>
        </w:rPr>
        <w:br/>
      </w:r>
      <w:r>
        <w:rPr>
          <w:bCs/>
          <w:lang w:val="ru"/>
        </w:rPr>
        <w:t>W_pic_js_SP33_Austria_Bickhardt_2_0825_00522</w:t>
      </w:r>
    </w:p>
    <w:p w14:paraId="2EE48B19" w14:textId="7C8EF04E" w:rsidR="00FD073C" w:rsidRPr="00FD073C" w:rsidRDefault="00644A8C" w:rsidP="00644A8C">
      <w:pPr>
        <w:pStyle w:val="Note"/>
        <w:spacing w:before="0" w:after="0"/>
        <w:rPr>
          <w:i w:val="0"/>
        </w:rPr>
      </w:pPr>
      <w:r>
        <w:rPr>
          <w:i w:val="0"/>
          <w:lang w:val="ru"/>
        </w:rPr>
        <w:t>За один рабочий день с помощью SP 33 удалось уложить более 400 метров профиля «бордюр-лоток».</w:t>
      </w:r>
    </w:p>
    <w:p w14:paraId="111084B6" w14:textId="77777777" w:rsidR="00BE6237" w:rsidRPr="00644A8C" w:rsidRDefault="00BE6237" w:rsidP="00644A8C">
      <w:pPr>
        <w:spacing w:after="160" w:line="259" w:lineRule="auto"/>
        <w:rPr>
          <w:rFonts w:eastAsiaTheme="minorHAnsi" w:cstheme="minorBidi"/>
          <w:sz w:val="20"/>
          <w:szCs w:val="20"/>
        </w:rPr>
      </w:pPr>
    </w:p>
    <w:p w14:paraId="67E83AFA" w14:textId="462DD0BB" w:rsidR="00980313" w:rsidRDefault="00714D6B" w:rsidP="00A96B2E">
      <w:pPr>
        <w:pStyle w:val="Note"/>
        <w:rPr>
          <w:iCs/>
          <w:lang w:val="ru"/>
        </w:rPr>
      </w:pPr>
      <w:r>
        <w:rPr>
          <w:iCs/>
          <w:lang w:val="ru"/>
        </w:rPr>
        <w:t>Примечание: настоящие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66AD6FC5" w14:textId="26A5D09A" w:rsidR="0022668A" w:rsidRDefault="0022668A">
      <w:pPr>
        <w:rPr>
          <w:rFonts w:eastAsiaTheme="minorHAnsi" w:cstheme="minorBidi"/>
          <w:sz w:val="22"/>
          <w:szCs w:val="24"/>
          <w:lang w:val="ru"/>
        </w:rPr>
      </w:pPr>
      <w:r>
        <w:rPr>
          <w:lang w:val="ru"/>
        </w:rPr>
        <w:br w:type="page"/>
      </w:r>
    </w:p>
    <w:p w14:paraId="42407D56" w14:textId="77777777" w:rsidR="0022668A" w:rsidRPr="0022668A" w:rsidRDefault="0022668A" w:rsidP="0022668A">
      <w:pPr>
        <w:pStyle w:val="Standardabsatz"/>
        <w:rPr>
          <w:lang w:val="ru"/>
        </w:rPr>
      </w:pPr>
    </w:p>
    <w:p w14:paraId="717825D0" w14:textId="4B1B0DAB" w:rsidR="00B409DF" w:rsidRPr="00A9721A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A9721A" w:rsidRDefault="00B409DF" w:rsidP="00B409DF">
      <w:pPr>
        <w:pStyle w:val="Absatzberschrift"/>
      </w:pPr>
    </w:p>
    <w:p w14:paraId="6BD3D8AD" w14:textId="77777777" w:rsidR="00B409DF" w:rsidRPr="00A9721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A9721A" w:rsidRDefault="00B409DF" w:rsidP="00B409DF">
      <w:pPr>
        <w:pStyle w:val="Fuzeile1"/>
      </w:pPr>
    </w:p>
    <w:p w14:paraId="747CCDAF" w14:textId="78D0EB80" w:rsidR="00B409DF" w:rsidRPr="00A9721A" w:rsidRDefault="00B409DF" w:rsidP="0022668A">
      <w:pPr>
        <w:pStyle w:val="Fuzeile1"/>
        <w:tabs>
          <w:tab w:val="left" w:pos="1560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</w:t>
      </w:r>
      <w:r>
        <w:rPr>
          <w:bCs w:val="0"/>
          <w:iCs w:val="0"/>
          <w:lang w:val="ru"/>
        </w:rPr>
        <w:tab/>
        <w:t>+49 (0) 2645 131 – 1966</w:t>
      </w:r>
    </w:p>
    <w:p w14:paraId="72EBA31D" w14:textId="369121F8" w:rsidR="00B409DF" w:rsidRPr="00A9721A" w:rsidRDefault="00B409DF" w:rsidP="0022668A">
      <w:pPr>
        <w:pStyle w:val="Fuzeile1"/>
        <w:tabs>
          <w:tab w:val="left" w:pos="1560"/>
        </w:tabs>
      </w:pPr>
      <w:r>
        <w:rPr>
          <w:bCs w:val="0"/>
          <w:iCs w:val="0"/>
          <w:lang w:val="ru"/>
        </w:rPr>
        <w:t>Факс:</w:t>
      </w:r>
      <w:r>
        <w:rPr>
          <w:bCs w:val="0"/>
          <w:iCs w:val="0"/>
          <w:lang w:val="ru"/>
        </w:rPr>
        <w:tab/>
        <w:t>+49 (0) 2645 131 – 499</w:t>
      </w:r>
    </w:p>
    <w:p w14:paraId="54DD8925" w14:textId="01E7877D" w:rsidR="00B409DF" w:rsidRPr="00A9721A" w:rsidRDefault="00B409DF" w:rsidP="0022668A">
      <w:pPr>
        <w:pStyle w:val="Fuzeile1"/>
        <w:tabs>
          <w:tab w:val="left" w:pos="1560"/>
        </w:tabs>
      </w:pPr>
      <w:r>
        <w:rPr>
          <w:bCs w:val="0"/>
          <w:iCs w:val="0"/>
          <w:lang w:val="ru"/>
        </w:rPr>
        <w:t>Эл. почта:</w:t>
      </w:r>
      <w:r>
        <w:rPr>
          <w:bCs w:val="0"/>
          <w:iCs w:val="0"/>
          <w:lang w:val="ru"/>
        </w:rPr>
        <w:tab/>
      </w:r>
      <w:hyperlink r:id="rId12" w:history="1">
        <w:r>
          <w:rPr>
            <w:rStyle w:val="Hyperlink"/>
            <w:bCs w:val="0"/>
            <w:iCs w:val="0"/>
            <w:lang w:val="ru"/>
          </w:rPr>
          <w:t>PR@wirtgen-group.com</w:t>
        </w:r>
      </w:hyperlink>
    </w:p>
    <w:p w14:paraId="51E322C9" w14:textId="77777777" w:rsidR="00B409DF" w:rsidRPr="00A9721A" w:rsidRDefault="00B409DF" w:rsidP="00B409DF">
      <w:pPr>
        <w:pStyle w:val="Fuzeile1"/>
        <w:rPr>
          <w:vanish/>
        </w:rPr>
      </w:pPr>
    </w:p>
    <w:p w14:paraId="11BA6AC4" w14:textId="6DB6FCDF" w:rsidR="00B409DF" w:rsidRPr="00A9721A" w:rsidRDefault="0022668A" w:rsidP="00B409DF">
      <w:pPr>
        <w:pStyle w:val="Fuzeile1"/>
      </w:pPr>
      <w:hyperlink r:id="rId13" w:history="1">
        <w:r w:rsidR="00BE5B0F">
          <w:rPr>
            <w:rStyle w:val="Hyperlink"/>
            <w:bCs w:val="0"/>
            <w:iCs w:val="0"/>
            <w:lang w:val="ru"/>
          </w:rPr>
          <w:t>www.wirtgen-group.com</w:t>
        </w:r>
      </w:hyperlink>
    </w:p>
    <w:p w14:paraId="02ED9A5B" w14:textId="77777777" w:rsidR="00A76CDD" w:rsidRPr="00A9721A" w:rsidRDefault="00A76CDD" w:rsidP="00B409DF">
      <w:pPr>
        <w:pStyle w:val="Fuzeile1"/>
      </w:pPr>
    </w:p>
    <w:sectPr w:rsidR="00A76CDD" w:rsidRPr="00A9721A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05F7C3D8" w:rsidR="00615CDA" w:rsidRPr="00615CDA" w:rsidRDefault="00FD073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05F7C3D8" w:rsidR="00615CDA" w:rsidRPr="00615CDA" w:rsidRDefault="00FD073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2A6A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2668A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855F5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129F2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44A8C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2557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463E"/>
    <w:rsid w:val="00832921"/>
    <w:rsid w:val="008334EC"/>
    <w:rsid w:val="00834472"/>
    <w:rsid w:val="00836A5D"/>
    <w:rsid w:val="00840119"/>
    <w:rsid w:val="008427F2"/>
    <w:rsid w:val="00843B45"/>
    <w:rsid w:val="0084571C"/>
    <w:rsid w:val="00856ACF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539CE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76CDD"/>
    <w:rsid w:val="00A82395"/>
    <w:rsid w:val="00A9389A"/>
    <w:rsid w:val="00A96B2E"/>
    <w:rsid w:val="00A9721A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5B0F"/>
    <w:rsid w:val="00BE6237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1C44"/>
    <w:rsid w:val="00D11E5D"/>
    <w:rsid w:val="00D14543"/>
    <w:rsid w:val="00D164C8"/>
    <w:rsid w:val="00D166AC"/>
    <w:rsid w:val="00D16C4C"/>
    <w:rsid w:val="00D20B6F"/>
    <w:rsid w:val="00D36BA2"/>
    <w:rsid w:val="00D37CF4"/>
    <w:rsid w:val="00D4487C"/>
    <w:rsid w:val="00D63D33"/>
    <w:rsid w:val="00D65BAE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12B4"/>
    <w:rsid w:val="00E424CB"/>
    <w:rsid w:val="00E51170"/>
    <w:rsid w:val="00E52D70"/>
    <w:rsid w:val="00E55534"/>
    <w:rsid w:val="00E565DC"/>
    <w:rsid w:val="00E7116D"/>
    <w:rsid w:val="00E71992"/>
    <w:rsid w:val="00E72429"/>
    <w:rsid w:val="00E83680"/>
    <w:rsid w:val="00E914D1"/>
    <w:rsid w:val="00E960D8"/>
    <w:rsid w:val="00E9680E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0C5B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073C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856AC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wirtgen-group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wirtgen-group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669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4880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Zierden-Schwietert Monika</dc:creator>
  <cp:lastModifiedBy>Zierden-Schwietert Monika</cp:lastModifiedBy>
  <cp:revision>4</cp:revision>
  <cp:lastPrinted>2021-10-20T14:00:00Z</cp:lastPrinted>
  <dcterms:created xsi:type="dcterms:W3CDTF">2026-01-26T08:17:00Z</dcterms:created>
  <dcterms:modified xsi:type="dcterms:W3CDTF">2026-01-30T13:53:00Z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